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4">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B">
      <w:pPr>
        <w:spacing w:befor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rtl w:val="0"/>
        </w:rPr>
        <w:t xml:space="preserve">jako hlavnímu příjemci / dalšímu účastníku projektu (dále jen „Příjemce“)</w:t>
      </w:r>
    </w:p>
    <w:p w:rsidR="00000000" w:rsidDel="00000000" w:rsidP="00000000" w:rsidRDefault="00000000" w:rsidRPr="00000000" w14:paraId="0000001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7">
      <w:pPr>
        <w:spacing w:after="60" w:lineRule="auto"/>
        <w:rPr>
          <w:rFonts w:ascii="Calibri" w:cs="Calibri" w:eastAsia="Calibri" w:hAnsi="Calibri"/>
        </w:rPr>
      </w:pPr>
      <w:r w:rsidDel="00000000" w:rsidR="00000000" w:rsidRPr="00000000">
        <w:rPr>
          <w:rFonts w:ascii="Calibri" w:cs="Calibri" w:eastAsia="Calibri" w:hAnsi="Calibri"/>
          <w:rtl w:val="0"/>
        </w:rPr>
        <w:t xml:space="preserve">Posyktovatel přijal návrh projektu </w:t>
      </w:r>
      <w:r w:rsidDel="00000000" w:rsidR="00000000" w:rsidRPr="00000000">
        <w:rPr>
          <w:rFonts w:ascii="Calibri" w:cs="Calibri" w:eastAsia="Calibri" w:hAnsi="Calibri"/>
          <w:highlight w:val="yellow"/>
          <w:rtl w:val="0"/>
        </w:rPr>
        <w:t xml:space="preserve">XXXX </w:t>
      </w:r>
      <w:r w:rsidDel="00000000" w:rsidR="00000000" w:rsidRPr="00000000">
        <w:rPr>
          <w:rFonts w:ascii="Calibri" w:cs="Calibri" w:eastAsia="Calibri" w:hAnsi="Calibri"/>
          <w:rtl w:val="0"/>
        </w:rPr>
        <w:t xml:space="preserve">s názvem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 souladu s § 9 ZPVV proto Poskytovatel vydává toto Rozhodnutí. Veškeré pojmy použité v Rozhodnutí definujeme ve Všeobecných podmínkách.</w:t>
      </w:r>
    </w:p>
    <w:p w:rsidR="00000000" w:rsidDel="00000000" w:rsidP="00000000" w:rsidRDefault="00000000" w:rsidRPr="00000000" w14:paraId="0000001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19">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1A">
      <w:pPr>
        <w:numPr>
          <w:ilvl w:val="0"/>
          <w:numId w:val="6"/>
        </w:numPr>
        <w:ind w:left="360" w:hanging="360"/>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r w:rsidDel="00000000" w:rsidR="00000000" w:rsidRPr="00000000">
        <w:rPr>
          <w:rtl w:val="0"/>
        </w:rPr>
      </w:r>
    </w:p>
    <w:p w:rsidR="00000000" w:rsidDel="00000000" w:rsidP="00000000" w:rsidRDefault="00000000" w:rsidRPr="00000000" w14:paraId="0000001B">
      <w:pPr>
        <w:numPr>
          <w:ilvl w:val="0"/>
          <w:numId w:val="6"/>
        </w:numPr>
        <w:ind w:left="360" w:hanging="360"/>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r w:rsidDel="00000000" w:rsidR="00000000" w:rsidRPr="00000000">
        <w:rPr>
          <w:rtl w:val="0"/>
        </w:rPr>
      </w:r>
    </w:p>
    <w:p w:rsidR="00000000" w:rsidDel="00000000" w:rsidP="00000000" w:rsidRDefault="00000000" w:rsidRPr="00000000" w14:paraId="0000001C">
      <w:pPr>
        <w:numPr>
          <w:ilvl w:val="0"/>
          <w:numId w:val="6"/>
        </w:numPr>
        <w:ind w:left="360" w:hanging="360"/>
        <w:rPr/>
      </w:pPr>
      <w:r w:rsidDel="00000000" w:rsidR="00000000" w:rsidRPr="00000000">
        <w:rPr>
          <w:rFonts w:ascii="Calibri" w:cs="Calibri" w:eastAsia="Calibri" w:hAnsi="Calibri"/>
          <w:rtl w:val="0"/>
        </w:rPr>
        <w:t xml:space="preserve">Podporu poskytneme formou zvýšení výdajů organizační složky státu, která je Příjemcem, ve smyslu § 4 odst. 1 ZPVV.</w:t>
      </w:r>
      <w:r w:rsidDel="00000000" w:rsidR="00000000" w:rsidRPr="00000000">
        <w:rPr>
          <w:rtl w:val="0"/>
        </w:rPr>
      </w:r>
    </w:p>
    <w:p w:rsidR="00000000" w:rsidDel="00000000" w:rsidP="00000000" w:rsidRDefault="00000000" w:rsidRPr="00000000" w14:paraId="0000001D">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1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1F">
      <w:pPr>
        <w:numPr>
          <w:ilvl w:val="0"/>
          <w:numId w:val="5"/>
        </w:numPr>
        <w:ind w:left="360" w:hanging="360"/>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r w:rsidDel="00000000" w:rsidR="00000000" w:rsidRPr="00000000">
        <w:rPr>
          <w:rtl w:val="0"/>
        </w:rPr>
      </w:r>
    </w:p>
    <w:p w:rsidR="00000000" w:rsidDel="00000000" w:rsidP="00000000" w:rsidRDefault="00000000" w:rsidRPr="00000000" w14:paraId="00000020">
      <w:pPr>
        <w:numPr>
          <w:ilvl w:val="0"/>
          <w:numId w:val="5"/>
        </w:numPr>
        <w:ind w:left="360" w:hanging="360"/>
        <w:rPr/>
      </w:pPr>
      <w:r w:rsidDel="00000000" w:rsidR="00000000" w:rsidRPr="00000000">
        <w:rPr>
          <w:rFonts w:ascii="Calibri" w:cs="Calibri" w:eastAsia="Calibri" w:hAnsi="Calibri"/>
          <w:rtl w:val="0"/>
        </w:rPr>
        <w:t xml:space="preserve">Maximální výše uznaných nákladů projektu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1">
      <w:pPr>
        <w:numPr>
          <w:ilvl w:val="0"/>
          <w:numId w:val="5"/>
        </w:numPr>
        <w:ind w:left="360" w:hanging="360"/>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 </w:t>
      </w:r>
      <w:r w:rsidDel="00000000" w:rsidR="00000000" w:rsidRPr="00000000">
        <w:rPr>
          <w:rFonts w:ascii="Calibri" w:cs="Calibri" w:eastAsia="Calibri" w:hAnsi="Calibri"/>
          <w:rtl w:val="0"/>
        </w:rPr>
        <w:t xml:space="preserve">% uznaných nákladů projektu.</w:t>
      </w:r>
      <w:r w:rsidDel="00000000" w:rsidR="00000000" w:rsidRPr="00000000">
        <w:rPr>
          <w:rtl w:val="0"/>
        </w:rPr>
      </w:r>
    </w:p>
    <w:p w:rsidR="00000000" w:rsidDel="00000000" w:rsidP="00000000" w:rsidRDefault="00000000" w:rsidRPr="00000000" w14:paraId="0000002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4">
      <w:pPr>
        <w:numPr>
          <w:ilvl w:val="0"/>
          <w:numId w:val="2"/>
        </w:numPr>
        <w:tabs>
          <w:tab w:val="left" w:leader="none" w:pos="567"/>
          <w:tab w:val="left" w:leader="none" w:pos="709"/>
        </w:tabs>
        <w:ind w:left="360" w:hanging="360"/>
        <w:rPr/>
      </w:pPr>
      <w:r w:rsidDel="00000000" w:rsidR="00000000" w:rsidRPr="00000000">
        <w:rPr>
          <w:rFonts w:ascii="Calibri" w:cs="Calibri" w:eastAsia="Calibri" w:hAnsi="Calibri"/>
          <w:rtl w:val="0"/>
        </w:rPr>
        <w:t xml:space="preserve">Nedílnou součástí Rozhodnutí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5">
      <w:pPr>
        <w:numPr>
          <w:ilvl w:val="0"/>
          <w:numId w:val="2"/>
        </w:numPr>
        <w:tabs>
          <w:tab w:val="left" w:leader="none" w:pos="567"/>
          <w:tab w:val="left" w:leader="none" w:pos="709"/>
        </w:tabs>
        <w:ind w:left="357" w:hanging="357"/>
        <w:rPr/>
      </w:pPr>
      <w:r w:rsidDel="00000000" w:rsidR="00000000" w:rsidRPr="00000000">
        <w:rPr>
          <w:rFonts w:ascii="Calibri" w:cs="Calibri" w:eastAsia="Calibri" w:hAnsi="Calibri"/>
          <w:rtl w:val="0"/>
        </w:rPr>
        <w:t xml:space="preserve">Další podmínky poskytnutí podpory a řešení projektu uvádíme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našich webových stránkách</w:t>
      </w: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26">
      <w:pPr>
        <w:numPr>
          <w:ilvl w:val="0"/>
          <w:numId w:val="2"/>
        </w:numPr>
        <w:tabs>
          <w:tab w:val="left" w:leader="none" w:pos="567"/>
          <w:tab w:val="left" w:leader="none" w:pos="709"/>
        </w:tabs>
        <w:ind w:left="357" w:hanging="357"/>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použijeme přednostně ustanovení Rozhodnutí, dále ustanovení Všeobecných podmínek a dále Závazných parametrů řešení projektu.</w:t>
      </w:r>
      <w:r w:rsidDel="00000000" w:rsidR="00000000" w:rsidRPr="00000000">
        <w:rPr>
          <w:rtl w:val="0"/>
        </w:rPr>
      </w:r>
    </w:p>
    <w:p w:rsidR="00000000" w:rsidDel="00000000" w:rsidP="00000000" w:rsidRDefault="00000000" w:rsidRPr="00000000" w14:paraId="00000027">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gjdgxs" w:id="0"/>
    <w:bookmarkEnd w:id="0"/>
    <w:p w:rsidR="00000000" w:rsidDel="00000000" w:rsidP="00000000" w:rsidRDefault="00000000" w:rsidRPr="00000000" w14:paraId="0000002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29">
      <w:pPr>
        <w:numPr>
          <w:ilvl w:val="0"/>
          <w:numId w:val="4"/>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pro výše uvedenou mezinárodní výzvu, a to nad rámec Všeobecných podmínek.</w:t>
      </w:r>
    </w:p>
    <w:p w:rsidR="00000000" w:rsidDel="00000000" w:rsidP="00000000" w:rsidRDefault="00000000" w:rsidRPr="00000000" w14:paraId="0000002A">
      <w:pPr>
        <w:numPr>
          <w:ilvl w:val="0"/>
          <w:numId w:val="4"/>
        </w:numPr>
        <w:ind w:left="425"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2B">
      <w:pPr>
        <w:numPr>
          <w:ilvl w:val="0"/>
          <w:numId w:val="4"/>
        </w:numPr>
        <w:ind w:left="425" w:hanging="425"/>
        <w:rPr/>
      </w:pPr>
      <w:r w:rsidDel="00000000" w:rsidR="00000000" w:rsidRPr="00000000">
        <w:rPr>
          <w:rFonts w:ascii="Calibri" w:cs="Calibri" w:eastAsia="Calibri" w:hAnsi="Calibri"/>
          <w:rtl w:val="0"/>
        </w:rPr>
        <w:t xml:space="preserve">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2C">
      <w:pPr>
        <w:numPr>
          <w:ilvl w:val="0"/>
          <w:numId w:val="4"/>
        </w:numPr>
        <w:spacing w:after="120" w:lineRule="auto"/>
        <w:ind w:left="425" w:hanging="425"/>
        <w:rPr/>
      </w:pPr>
      <w:r w:rsidDel="00000000" w:rsidR="00000000" w:rsidRPr="00000000">
        <w:rPr>
          <w:rFonts w:ascii="Calibri" w:cs="Calibri" w:eastAsia="Calibri" w:hAnsi="Calibri"/>
          <w:rtl w:val="0"/>
        </w:rPr>
        <w:t xml:space="preserve">Článek 2 Všeobecných podmínek „Vymezení pojmů” se doplňuje o tyto pojmy: </w:t>
      </w:r>
      <w:r w:rsidDel="00000000" w:rsidR="00000000" w:rsidRPr="00000000">
        <w:rPr>
          <w:rtl w:val="0"/>
        </w:rPr>
      </w:r>
    </w:p>
    <w:p w:rsidR="00000000" w:rsidDel="00000000" w:rsidP="00000000" w:rsidRDefault="00000000" w:rsidRPr="00000000" w14:paraId="0000002D">
      <w:pPr>
        <w:spacing w:after="120" w:before="0" w:lineRule="auto"/>
        <w:ind w:left="850"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2E">
      <w:pPr>
        <w:ind w:left="850"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2F">
      <w:pPr>
        <w:numPr>
          <w:ilvl w:val="0"/>
          <w:numId w:val="4"/>
        </w:numPr>
        <w:ind w:left="425" w:hanging="425"/>
        <w:rPr/>
      </w:pPr>
      <w:r w:rsidDel="00000000" w:rsidR="00000000" w:rsidRPr="00000000">
        <w:rPr>
          <w:rFonts w:ascii="Calibri" w:cs="Calibri" w:eastAsia="Calibri" w:hAnsi="Calibri"/>
          <w:rtl w:val="0"/>
        </w:rPr>
        <w:t xml:space="preserve">Nad rámec Všeobecných podmínek má Hlavní příjemce povinnost mít před podpisem Smlouvy uzavřenou příslušnou konsorciální smlouvu (Consortium Agreement)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a související ustanovení se použijí i pro konsorciální smlouvu se zahraničním partnerem, kdy se ve vztahu k zahraničnímu partnerovi neuplatní povinnosti dle čl. 6 odst. 2 písm. c) a d). Konsorciální smlouva musí být v anglickém jazyce. Nesplnění této povinnosti má za následek vznik povinnosti uhradit smluvní pokutu ve výši 1 000 Kč za každý započatý měsíc, kdy není povinnost splněna, maximálně však 30 000 Kč. </w:t>
      </w:r>
      <w:r w:rsidDel="00000000" w:rsidR="00000000" w:rsidRPr="00000000">
        <w:rPr>
          <w:rtl w:val="0"/>
        </w:rPr>
      </w:r>
    </w:p>
    <w:p w:rsidR="00000000" w:rsidDel="00000000" w:rsidP="00000000" w:rsidRDefault="00000000" w:rsidRPr="00000000" w14:paraId="00000030">
      <w:pPr>
        <w:numPr>
          <w:ilvl w:val="0"/>
          <w:numId w:val="4"/>
        </w:numPr>
        <w:spacing w:after="120" w:lineRule="auto"/>
        <w:ind w:left="425" w:right="-182" w:hanging="425"/>
        <w:rPr/>
      </w:pPr>
      <w:bookmarkStart w:colFirst="0" w:colLast="0" w:name="_30j0zll" w:id="1"/>
      <w:bookmarkEnd w:id="1"/>
      <w:r w:rsidDel="00000000" w:rsidR="00000000" w:rsidRPr="00000000">
        <w:rPr>
          <w:rFonts w:ascii="Calibri" w:cs="Calibri" w:eastAsia="Calibri" w:hAnsi="Calibri"/>
          <w:rtl w:val="0"/>
        </w:rPr>
        <w:t xml:space="preserve"> Čl. 11 Všeobecných podmínek se doplňuje o nový odst. 5, který zní:</w:t>
      </w:r>
      <w:r w:rsidDel="00000000" w:rsidR="00000000" w:rsidRPr="00000000">
        <w:rPr>
          <w:rtl w:val="0"/>
        </w:rPr>
      </w:r>
    </w:p>
    <w:p w:rsidR="00000000" w:rsidDel="00000000" w:rsidP="00000000" w:rsidRDefault="00000000" w:rsidRPr="00000000" w14:paraId="00000031">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2">
      <w:pPr>
        <w:keepNext w:val="1"/>
        <w:keepLines w:val="1"/>
        <w:numPr>
          <w:ilvl w:val="0"/>
          <w:numId w:val="4"/>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33">
      <w:pPr>
        <w:numPr>
          <w:ilvl w:val="0"/>
          <w:numId w:val="4"/>
        </w:numPr>
        <w:spacing w:line="240" w:lineRule="auto"/>
        <w:ind w:left="425" w:hanging="425"/>
        <w:rPr/>
      </w:pPr>
      <w:r w:rsidDel="00000000" w:rsidR="00000000" w:rsidRPr="00000000">
        <w:rPr>
          <w:rFonts w:ascii="Calibri" w:cs="Calibri" w:eastAsia="Calibri" w:hAnsi="Calibri"/>
          <w:rtl w:val="0"/>
        </w:rPr>
        <w:t xml:space="preserve">  Čl. 14 Všeobecných podmínek se doplňuje o nový odst. 5, který zní:</w:t>
      </w:r>
      <w:r w:rsidDel="00000000" w:rsidR="00000000" w:rsidRPr="00000000">
        <w:rPr>
          <w:rtl w:val="0"/>
        </w:rPr>
      </w:r>
    </w:p>
    <w:p w:rsidR="00000000" w:rsidDel="00000000" w:rsidP="00000000" w:rsidRDefault="00000000" w:rsidRPr="00000000" w14:paraId="00000034">
      <w:pPr>
        <w:spacing w:line="240" w:lineRule="auto"/>
        <w:ind w:left="850" w:right="566" w:firstLine="0"/>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5">
      <w:pPr>
        <w:numPr>
          <w:ilvl w:val="0"/>
          <w:numId w:val="4"/>
        </w:numPr>
        <w:ind w:left="425" w:hanging="425"/>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36">
      <w:pPr>
        <w:ind w:left="850" w:right="566"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37">
      <w:pPr>
        <w:numPr>
          <w:ilvl w:val="0"/>
          <w:numId w:val="4"/>
        </w:numPr>
        <w:ind w:left="425"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38">
      <w:pPr>
        <w:numPr>
          <w:ilvl w:val="1"/>
          <w:numId w:val="4"/>
        </w:numPr>
        <w:ind w:left="1440" w:right="566" w:hanging="360"/>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39">
      <w:pPr>
        <w:numPr>
          <w:ilvl w:val="1"/>
          <w:numId w:val="4"/>
        </w:numPr>
        <w:ind w:left="1440" w:right="566" w:hanging="360"/>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3A">
      <w:pPr>
        <w:numPr>
          <w:ilvl w:val="0"/>
          <w:numId w:val="4"/>
        </w:numPr>
        <w:ind w:left="425" w:right="566" w:hanging="425"/>
        <w:rPr/>
      </w:pPr>
      <w:r w:rsidDel="00000000" w:rsidR="00000000" w:rsidRPr="00000000">
        <w:rPr>
          <w:rFonts w:ascii="Calibri" w:cs="Calibri" w:eastAsia="Calibri" w:hAnsi="Calibri"/>
          <w:rtl w:val="0"/>
        </w:rPr>
        <w:t xml:space="preserve">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r w:rsidDel="00000000" w:rsidR="00000000" w:rsidRPr="00000000">
        <w:rPr>
          <w:rtl w:val="0"/>
        </w:rPr>
      </w:r>
    </w:p>
    <w:p w:rsidR="00000000" w:rsidDel="00000000" w:rsidP="00000000" w:rsidRDefault="00000000" w:rsidRPr="00000000" w14:paraId="0000003B">
      <w:pPr>
        <w:numPr>
          <w:ilvl w:val="0"/>
          <w:numId w:val="4"/>
        </w:numPr>
        <w:ind w:left="425" w:right="566" w:hanging="425"/>
        <w:rPr/>
      </w:pPr>
      <w:r w:rsidDel="00000000" w:rsidR="00000000" w:rsidRPr="00000000">
        <w:rPr>
          <w:rFonts w:ascii="Calibri" w:cs="Calibri" w:eastAsia="Calibri" w:hAnsi="Calibri"/>
          <w:rtl w:val="0"/>
        </w:rPr>
        <w:t xml:space="preserve">Nad rámec Všeobecných podmínek je dále Příjemce povinen předávat Poskytovateli v průběhu realizace projektu informace 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r w:rsidDel="00000000" w:rsidR="00000000" w:rsidRPr="00000000">
        <w:rPr>
          <w:rtl w:val="0"/>
        </w:rPr>
      </w:r>
    </w:p>
    <w:p w:rsidR="00000000" w:rsidDel="00000000" w:rsidP="00000000" w:rsidRDefault="00000000" w:rsidRPr="00000000" w14:paraId="0000003C">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before="360" w:lineRule="auto"/>
        <w:jc w:val="center"/>
        <w:rPr>
          <w:rFonts w:ascii="Calibri" w:cs="Calibri" w:eastAsia="Calibri" w:hAnsi="Calibri"/>
        </w:rPr>
      </w:pPr>
      <w:bookmarkStart w:colFirst="0" w:colLast="0" w:name="_1fob9te" w:id="2"/>
      <w:bookmarkEnd w:id="2"/>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3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3F">
      <w:pPr>
        <w:numPr>
          <w:ilvl w:val="0"/>
          <w:numId w:val="1"/>
        </w:numPr>
        <w:tabs>
          <w:tab w:val="left" w:leader="none" w:pos="567"/>
          <w:tab w:val="left" w:leader="none" w:pos="709"/>
        </w:tabs>
        <w:ind w:left="360" w:hanging="360"/>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r w:rsidDel="00000000" w:rsidR="00000000" w:rsidRPr="00000000">
        <w:rPr>
          <w:rtl w:val="0"/>
        </w:rPr>
      </w:r>
    </w:p>
    <w:p w:rsidR="00000000" w:rsidDel="00000000" w:rsidP="00000000" w:rsidRDefault="00000000" w:rsidRPr="00000000" w14:paraId="00000040">
      <w:pPr>
        <w:numPr>
          <w:ilvl w:val="0"/>
          <w:numId w:val="1"/>
        </w:numPr>
        <w:tabs>
          <w:tab w:val="left" w:leader="none" w:pos="567"/>
          <w:tab w:val="left" w:leader="none" w:pos="709"/>
        </w:tabs>
        <w:ind w:left="360" w:hanging="360"/>
        <w:rPr/>
      </w:pPr>
      <w:r w:rsidDel="00000000" w:rsidR="00000000" w:rsidRPr="00000000">
        <w:rPr>
          <w:rFonts w:ascii="Calibri" w:cs="Calibri" w:eastAsia="Calibri" w:hAnsi="Calibri"/>
          <w:rtl w:val="0"/>
        </w:rPr>
        <w:t xml:space="preserve">Rozhodnutí vydáváme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6"/>
          <w:numId w:val="3"/>
        </w:numPr>
        <w:spacing w:before="0" w:line="240" w:lineRule="auto"/>
        <w:ind w:left="5040" w:firstLine="1476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tbl>
      <w:tblPr>
        <w:tblStyle w:val="Table1"/>
        <w:tblW w:w="9639.0" w:type="dxa"/>
        <w:jc w:val="left"/>
        <w:tblInd w:w="-12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44">
            <w:pPr>
              <w:spacing w:after="40" w:before="40" w:lineRule="auto"/>
              <w:rPr>
                <w:rFonts w:ascii="Calibri" w:cs="Calibri" w:eastAsia="Calibri" w:hAnsi="Calibri"/>
                <w:highlight w:val="yellow"/>
              </w:rPr>
            </w:pPr>
            <w:r w:rsidDel="00000000" w:rsidR="00000000" w:rsidRPr="00000000">
              <w:rPr>
                <w:rFonts w:ascii="Calibri" w:cs="Calibri" w:eastAsia="Calibri" w:hAnsi="Calibri"/>
                <w:rtl w:val="0"/>
              </w:rPr>
              <w:t xml:space="preserve">V Praze dne </w:t>
            </w:r>
            <w:r w:rsidDel="00000000" w:rsidR="00000000" w:rsidRPr="00000000">
              <w:rPr>
                <w:rFonts w:ascii="Calibri" w:cs="Calibri" w:eastAsia="Calibri" w:hAnsi="Calibri"/>
                <w:highlight w:val="yellow"/>
                <w:rtl w:val="0"/>
              </w:rPr>
              <w:t xml:space="preserve">DD. MM. RRRR</w:t>
            </w:r>
          </w:p>
        </w:tc>
        <w:tc>
          <w:tcPr>
            <w:tcBorders>
              <w:bottom w:color="000000" w:space="0" w:sz="4" w:val="single"/>
            </w:tcBorders>
          </w:tcPr>
          <w:p w:rsidR="00000000" w:rsidDel="00000000" w:rsidP="00000000" w:rsidRDefault="00000000" w:rsidRPr="00000000" w14:paraId="00000045">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46">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47">
            <w:pPr>
              <w:spacing w:after="40" w:before="4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předseda/předsedkyně TA ČR</w:t>
            </w:r>
          </w:p>
        </w:tc>
      </w:tr>
    </w:tbl>
    <w:bookmarkStart w:colFirst="0" w:colLast="0" w:name="3znysh7" w:id="3"/>
    <w:bookmarkEnd w:id="3"/>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rFonts w:ascii="Calibri" w:cs="Calibri" w:eastAsia="Calibri" w:hAnsi="Calibri"/>
        <w:sz w:val="16"/>
        <w:szCs w:val="16"/>
      </w:rPr>
    </w:pPr>
    <w:bookmarkStart w:colFirst="0" w:colLast="0" w:name="_2et92p0" w:id="4"/>
    <w:bookmarkEnd w:id="4"/>
    <w:r w:rsidDel="00000000" w:rsidR="00000000" w:rsidRPr="00000000">
      <w:rPr>
        <w:rFonts w:ascii="Calibri" w:cs="Calibri" w:eastAsia="Calibri" w:hAnsi="Calibri"/>
        <w:sz w:val="16"/>
        <w:szCs w:val="16"/>
        <w:rtl w:val="0"/>
      </w:rPr>
      <w:t xml:space="preserve">F-353, verze 4</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leader="none" w:pos="4536"/>
        <w:tab w:val="right" w:leader="none" w:pos="9072"/>
      </w:tabs>
      <w:spacing w:before="1134" w:line="240" w:lineRule="auto"/>
      <w:jc w:val="right"/>
      <w:rPr/>
    </w:pPr>
    <w:r w:rsidDel="00000000" w:rsidR="00000000" w:rsidRPr="00000000">
      <w:rPr>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-892165</wp:posOffset>
          </wp:positionH>
          <wp:positionV relativeFrom="paragraph">
            <wp:posOffset>-441952</wp:posOffset>
          </wp:positionV>
          <wp:extent cx="1439545" cy="143954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4B">
    <w:pPr>
      <w:tabs>
        <w:tab w:val="center" w:leader="none" w:pos="4536"/>
        <w:tab w:val="right" w:leader="none" w:pos="9072"/>
      </w:tabs>
      <w:spacing w:before="0" w:line="240" w:lineRule="auto"/>
      <w:jc w:val="right"/>
      <w:rPr>
        <w:b w:val="1"/>
        <w:sz w:val="16"/>
        <w:szCs w:val="16"/>
      </w:rPr>
    </w:pPr>
    <w:r w:rsidDel="00000000" w:rsidR="00000000" w:rsidRPr="00000000">
      <w:rPr>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p w:rsidR="00000000" w:rsidDel="00000000" w:rsidP="00000000" w:rsidRDefault="00000000" w:rsidRPr="00000000" w14:paraId="0000004C">
    <w:pPr>
      <w:tabs>
        <w:tab w:val="center" w:leader="none" w:pos="4536"/>
        <w:tab w:val="right" w:leader="none" w:pos="9072"/>
      </w:tabs>
      <w:spacing w:before="0" w:line="24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6">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